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360" w:line="240" w:lineRule="auto"/>
        <w:jc w:val="center"/>
        <w:rPr>
          <w:rFonts w:ascii="Gill Sans" w:cs="Gill Sans" w:eastAsia="Gill Sans" w:hAnsi="Gill Sans"/>
          <w:color w:val="0e627f"/>
          <w:sz w:val="47"/>
          <w:szCs w:val="47"/>
        </w:rPr>
      </w:pPr>
      <w:bookmarkStart w:colFirst="0" w:colLast="0" w:name="_t5pzs5g5tbvd" w:id="0"/>
      <w:bookmarkEnd w:id="0"/>
      <w:r w:rsidDel="00000000" w:rsidR="00000000" w:rsidRPr="00000000">
        <w:rPr>
          <w:color w:val="0e627f"/>
          <w:sz w:val="47"/>
          <w:szCs w:val="47"/>
          <w:rtl w:val="0"/>
        </w:rPr>
        <w:t xml:space="preserve">A Citizen Science Toolbox for Water Ecology: Co-creating tools for collective action</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0" w:before="160" w:line="360" w:lineRule="auto"/>
        <w:jc w:val="center"/>
        <w:rPr>
          <w:b w:val="1"/>
          <w:bCs w:val="1"/>
          <w:color w:val="58b14a"/>
          <w:sz w:val="24"/>
          <w:szCs w:val="24"/>
        </w:rPr>
      </w:pPr>
      <w:r w:rsidDel="00000000" w:rsidR="00000000" w:rsidRPr="00000000">
        <w:rPr>
          <w:rFonts w:ascii="Gill Sans" w:cs="Gill Sans" w:eastAsia="Gill Sans" w:hAnsi="Gill Sans"/>
          <w:b w:val="1"/>
          <w:bCs w:val="1"/>
          <w:color w:val="58b14a"/>
          <w:sz w:val="24"/>
          <w:szCs w:val="24"/>
          <w:rtl w:val="0"/>
        </w:rPr>
        <w:t xml:space="preserve">Workshop </w:t>
      </w:r>
      <w:r w:rsidDel="00000000" w:rsidR="00000000" w:rsidRPr="00000000">
        <w:rPr>
          <w:b w:val="1"/>
          <w:bCs w:val="1"/>
          <w:color w:val="58b14a"/>
          <w:sz w:val="24"/>
          <w:szCs w:val="24"/>
          <w:rtl w:val="0"/>
        </w:rPr>
        <w:t xml:space="preserve">at the CS4Water Conference</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after="240" w:before="60" w:line="360" w:lineRule="auto"/>
        <w:jc w:val="center"/>
        <w:rPr>
          <w:rFonts w:ascii="Gill Sans" w:cs="Gill Sans" w:eastAsia="Gill Sans" w:hAnsi="Gill Sans"/>
          <w:b w:val="1"/>
          <w:bCs w:val="1"/>
          <w:color w:val="58b14a"/>
          <w:sz w:val="24"/>
          <w:szCs w:val="24"/>
        </w:rPr>
      </w:pPr>
      <w:r w:rsidDel="00000000" w:rsidR="00000000" w:rsidRPr="00000000">
        <w:rPr>
          <w:b w:val="1"/>
          <w:bCs w:val="1"/>
          <w:color w:val="58b14a"/>
          <w:sz w:val="24"/>
          <w:szCs w:val="24"/>
          <w:rtl w:val="0"/>
        </w:rPr>
        <w:t xml:space="preserve">03.</w:t>
      </w:r>
      <w:r w:rsidDel="00000000" w:rsidR="00000000" w:rsidRPr="00000000">
        <w:rPr>
          <w:rFonts w:ascii="Gill Sans" w:cs="Gill Sans" w:eastAsia="Gill Sans" w:hAnsi="Gill Sans"/>
          <w:b w:val="1"/>
          <w:bCs w:val="1"/>
          <w:color w:val="58b14a"/>
          <w:sz w:val="24"/>
          <w:szCs w:val="24"/>
          <w:rtl w:val="0"/>
        </w:rPr>
        <w:t xml:space="preserve"> </w:t>
      </w:r>
      <w:r w:rsidDel="00000000" w:rsidR="00000000" w:rsidRPr="00000000">
        <w:rPr>
          <w:b w:val="1"/>
          <w:bCs w:val="1"/>
          <w:color w:val="58b14a"/>
          <w:sz w:val="24"/>
          <w:szCs w:val="24"/>
          <w:rtl w:val="0"/>
        </w:rPr>
        <w:t xml:space="preserve">June </w:t>
      </w:r>
      <w:r w:rsidDel="00000000" w:rsidR="00000000" w:rsidRPr="00000000">
        <w:rPr>
          <w:rFonts w:ascii="Gill Sans" w:cs="Gill Sans" w:eastAsia="Gill Sans" w:hAnsi="Gill Sans"/>
          <w:b w:val="1"/>
          <w:bCs w:val="1"/>
          <w:color w:val="58b14a"/>
          <w:sz w:val="24"/>
          <w:szCs w:val="24"/>
          <w:rtl w:val="0"/>
        </w:rPr>
        <w:t xml:space="preserve">202</w:t>
      </w:r>
      <w:r w:rsidDel="00000000" w:rsidR="00000000" w:rsidRPr="00000000">
        <w:rPr>
          <w:b w:val="1"/>
          <w:bCs w:val="1"/>
          <w:color w:val="58b14a"/>
          <w:sz w:val="24"/>
          <w:szCs w:val="24"/>
          <w:rtl w:val="0"/>
        </w:rPr>
        <w:t xml:space="preserve">5</w:t>
      </w:r>
      <w:r w:rsidDel="00000000" w:rsidR="00000000" w:rsidRPr="00000000">
        <w:rPr>
          <w:rFonts w:ascii="Gill Sans" w:cs="Gill Sans" w:eastAsia="Gill Sans" w:hAnsi="Gill Sans"/>
          <w:b w:val="1"/>
          <w:bCs w:val="1"/>
          <w:color w:val="58b14a"/>
          <w:sz w:val="24"/>
          <w:szCs w:val="24"/>
          <w:rtl w:val="0"/>
        </w:rPr>
        <w:t xml:space="preserve">, </w:t>
      </w:r>
      <w:r w:rsidDel="00000000" w:rsidR="00000000" w:rsidRPr="00000000">
        <w:rPr>
          <w:b w:val="1"/>
          <w:bCs w:val="1"/>
          <w:color w:val="58b14a"/>
          <w:sz w:val="24"/>
          <w:szCs w:val="24"/>
          <w:rtl w:val="0"/>
        </w:rPr>
        <w:t xml:space="preserve">Delft</w:t>
      </w:r>
      <w:r w:rsidDel="00000000" w:rsidR="00000000" w:rsidRPr="00000000">
        <w:rPr>
          <w:rtl w:val="0"/>
        </w:rPr>
      </w:r>
    </w:p>
    <w:p w:rsidR="00000000" w:rsidDel="00000000" w:rsidP="00000000" w:rsidRDefault="00000000" w:rsidRPr="00000000" w14:paraId="00000004">
      <w:pPr>
        <w:spacing w:after="160" w:before="300" w:lineRule="auto"/>
        <w:rPr>
          <w:sz w:val="24"/>
          <w:szCs w:val="24"/>
        </w:rPr>
      </w:pPr>
      <w:r w:rsidDel="00000000" w:rsidR="00000000" w:rsidRPr="00000000">
        <w:rPr>
          <w:b w:val="1"/>
          <w:bCs w:val="1"/>
          <w:sz w:val="24"/>
          <w:szCs w:val="24"/>
          <w:rtl w:val="0"/>
        </w:rPr>
        <w:t xml:space="preserve">Author: </w:t>
      </w:r>
      <w:r w:rsidDel="00000000" w:rsidR="00000000" w:rsidRPr="00000000">
        <w:rPr>
          <w:sz w:val="24"/>
          <w:szCs w:val="24"/>
          <w:rtl w:val="0"/>
        </w:rPr>
        <w:t xml:space="preserve">Stefanie Schuerz</w:t>
      </w:r>
    </w:p>
    <w:p w:rsidR="00000000" w:rsidDel="00000000" w:rsidP="00000000" w:rsidRDefault="00000000" w:rsidRPr="00000000" w14:paraId="00000005">
      <w:pPr>
        <w:spacing w:after="160" w:before="300" w:lineRule="auto"/>
        <w:rPr>
          <w:b w:val="1"/>
          <w:bCs w:val="1"/>
          <w:sz w:val="28"/>
          <w:szCs w:val="28"/>
        </w:rPr>
      </w:pPr>
      <w:r w:rsidDel="00000000" w:rsidR="00000000" w:rsidRPr="00000000">
        <w:rPr>
          <w:b w:val="1"/>
          <w:bCs w:val="1"/>
          <w:sz w:val="28"/>
          <w:szCs w:val="28"/>
          <w:rtl w:val="0"/>
        </w:rPr>
        <w:t xml:space="preserve">Workshop documentation</w:t>
      </w:r>
    </w:p>
    <w:p w:rsidR="00000000" w:rsidDel="00000000" w:rsidP="00000000" w:rsidRDefault="00000000" w:rsidRPr="00000000" w14:paraId="00000006">
      <w:pPr>
        <w:rPr/>
      </w:pPr>
      <w:r w:rsidDel="00000000" w:rsidR="00000000" w:rsidRPr="00000000">
        <w:rPr>
          <w:b w:val="1"/>
          <w:bCs w:val="1"/>
          <w:color w:val="0e627f"/>
          <w:sz w:val="24"/>
          <w:szCs w:val="24"/>
          <w:rtl w:val="0"/>
        </w:rPr>
        <w:t xml:space="preserve">Keywords:</w:t>
      </w:r>
      <w:r w:rsidDel="00000000" w:rsidR="00000000" w:rsidRPr="00000000">
        <w:rPr>
          <w:b w:val="1"/>
          <w:bCs w:val="1"/>
          <w:rtl w:val="0"/>
        </w:rPr>
        <w:t xml:space="preserve"> </w:t>
      </w:r>
      <w:r w:rsidDel="00000000" w:rsidR="00000000" w:rsidRPr="00000000">
        <w:rPr>
          <w:rFonts w:ascii="Gill Sans" w:cs="Gill Sans" w:eastAsia="Gill Sans" w:hAnsi="Gill Sans"/>
          <w:rtl w:val="0"/>
        </w:rPr>
        <w:t xml:space="preserve">Danube </w:t>
      </w:r>
      <w:r w:rsidDel="00000000" w:rsidR="00000000" w:rsidRPr="00000000">
        <w:rPr>
          <w:rtl w:val="0"/>
        </w:rPr>
        <w:t xml:space="preserve">R</w:t>
      </w:r>
      <w:r w:rsidDel="00000000" w:rsidR="00000000" w:rsidRPr="00000000">
        <w:rPr>
          <w:rFonts w:ascii="Gill Sans" w:cs="Gill Sans" w:eastAsia="Gill Sans" w:hAnsi="Gill Sans"/>
          <w:rtl w:val="0"/>
        </w:rPr>
        <w:t xml:space="preserve">iver </w:t>
      </w:r>
      <w:r w:rsidDel="00000000" w:rsidR="00000000" w:rsidRPr="00000000">
        <w:rPr>
          <w:rtl w:val="0"/>
        </w:rPr>
        <w:t xml:space="preserve">B</w:t>
      </w:r>
      <w:r w:rsidDel="00000000" w:rsidR="00000000" w:rsidRPr="00000000">
        <w:rPr>
          <w:rFonts w:ascii="Gill Sans" w:cs="Gill Sans" w:eastAsia="Gill Sans" w:hAnsi="Gill Sans"/>
          <w:rtl w:val="0"/>
        </w:rPr>
        <w:t xml:space="preserve">asin</w:t>
      </w:r>
      <w:r w:rsidDel="00000000" w:rsidR="00000000" w:rsidRPr="00000000">
        <w:rPr>
          <w:rtl w:val="0"/>
        </w:rPr>
        <w:t xml:space="preserve">, Citizen Science, Collective Action, Nature based solutions, Biodiversity, Toolbox</w:t>
      </w:r>
    </w:p>
    <w:p w:rsidR="00000000" w:rsidDel="00000000" w:rsidP="00000000" w:rsidRDefault="00000000" w:rsidRPr="00000000" w14:paraId="00000007">
      <w:pPr>
        <w:pStyle w:val="Heading2"/>
        <w:rPr/>
      </w:pPr>
      <w:bookmarkStart w:colFirst="0" w:colLast="0" w:name="_vm6kk5wwdeze" w:id="1"/>
      <w:bookmarkEnd w:id="1"/>
      <w:r w:rsidDel="00000000" w:rsidR="00000000" w:rsidRPr="00000000">
        <w:rPr>
          <w:rtl w:val="0"/>
        </w:rPr>
        <w:t xml:space="preserve">Table of Contents</w:t>
      </w:r>
    </w:p>
    <w:sdt>
      <w:sdtPr>
        <w:id w:val="1632426774"/>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c3dhtgoawjni">
            <w:r w:rsidDel="00000000" w:rsidR="00000000" w:rsidRPr="00000000">
              <w:rPr>
                <w:rFonts w:ascii="Gill Sans" w:cs="Gill Sans" w:eastAsia="Gill Sans" w:hAnsi="Gill Sans"/>
                <w:b w:val="0"/>
                <w:bCs w:val="0"/>
                <w:i w:val="0"/>
                <w:iCs w:val="0"/>
                <w:smallCaps w:val="0"/>
                <w:strike w:val="0"/>
                <w:color w:val="000000"/>
                <w:sz w:val="22"/>
                <w:szCs w:val="22"/>
                <w:u w:val="none"/>
                <w:shd w:fill="auto" w:val="clear"/>
                <w:vertAlign w:val="baseline"/>
                <w:rtl w:val="0"/>
              </w:rPr>
              <w:t xml:space="preserve">Agenda and formats</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qp3so1am8s3">
            <w:r w:rsidDel="00000000" w:rsidR="00000000" w:rsidRPr="00000000">
              <w:rPr>
                <w:rFonts w:ascii="Gill Sans" w:cs="Gill Sans" w:eastAsia="Gill Sans" w:hAnsi="Gill Sans"/>
                <w:b w:val="0"/>
                <w:bCs w:val="0"/>
                <w:i w:val="0"/>
                <w:iCs w:val="0"/>
                <w:smallCaps w:val="0"/>
                <w:strike w:val="0"/>
                <w:color w:val="000000"/>
                <w:sz w:val="22"/>
                <w:szCs w:val="22"/>
                <w:u w:val="none"/>
                <w:shd w:fill="auto" w:val="clear"/>
                <w:vertAlign w:val="baseline"/>
                <w:rtl w:val="0"/>
              </w:rPr>
              <w:t xml:space="preserve">Introduction and objectives</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psw38qrives7">
            <w:r w:rsidDel="00000000" w:rsidR="00000000" w:rsidRPr="00000000">
              <w:rPr>
                <w:rFonts w:ascii="Gill Sans" w:cs="Gill Sans" w:eastAsia="Gill Sans" w:hAnsi="Gill Sans"/>
                <w:b w:val="0"/>
                <w:bCs w:val="0"/>
                <w:i w:val="0"/>
                <w:iCs w:val="0"/>
                <w:smallCaps w:val="0"/>
                <w:strike w:val="0"/>
                <w:color w:val="000000"/>
                <w:sz w:val="22"/>
                <w:szCs w:val="22"/>
                <w:u w:val="none"/>
                <w:shd w:fill="auto" w:val="clear"/>
                <w:vertAlign w:val="baseline"/>
                <w:rtl w:val="0"/>
              </w:rPr>
              <w:t xml:space="preserve">Summary of the workshop</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pdvudaogoxj7">
            <w:r w:rsidDel="00000000" w:rsidR="00000000" w:rsidRPr="00000000">
              <w:rPr>
                <w:rFonts w:ascii="Gill Sans" w:cs="Gill Sans" w:eastAsia="Gill Sans" w:hAnsi="Gill Sans"/>
                <w:b w:val="0"/>
                <w:bCs w:val="0"/>
                <w:i w:val="0"/>
                <w:iCs w:val="0"/>
                <w:smallCaps w:val="0"/>
                <w:strike w:val="0"/>
                <w:color w:val="000000"/>
                <w:sz w:val="22"/>
                <w:szCs w:val="22"/>
                <w:u w:val="none"/>
                <w:shd w:fill="auto" w:val="clear"/>
                <w:vertAlign w:val="baseline"/>
                <w:rtl w:val="0"/>
              </w:rPr>
              <w:t xml:space="preserve">Introductions to DANUBE4all and its toolbox</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ufw77b9vsgb">
            <w:r w:rsidDel="00000000" w:rsidR="00000000" w:rsidRPr="00000000">
              <w:rPr>
                <w:rFonts w:ascii="Gill Sans" w:cs="Gill Sans" w:eastAsia="Gill Sans" w:hAnsi="Gill Sans"/>
                <w:b w:val="0"/>
                <w:bCs w:val="0"/>
                <w:i w:val="0"/>
                <w:iCs w:val="0"/>
                <w:smallCaps w:val="0"/>
                <w:strike w:val="0"/>
                <w:color w:val="000000"/>
                <w:sz w:val="22"/>
                <w:szCs w:val="22"/>
                <w:u w:val="none"/>
                <w:shd w:fill="auto" w:val="clear"/>
                <w:vertAlign w:val="baseline"/>
                <w:rtl w:val="0"/>
              </w:rPr>
              <w:t xml:space="preserve">Brainwalk on barriers for CS4Water</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720" w:firstLine="0"/>
            <w:rPr/>
          </w:pPr>
          <w:hyperlink w:anchor="_6g3bx03sgwd9">
            <w:r w:rsidDel="00000000" w:rsidR="00000000" w:rsidRPr="00000000">
              <w:rPr>
                <w:rtl w:val="0"/>
              </w:rPr>
              <w:t xml:space="preserve">Prioritizing barriers for CS4Water</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nrjvatz9dh7">
            <w:r w:rsidDel="00000000" w:rsidR="00000000" w:rsidRPr="00000000">
              <w:rPr>
                <w:rtl w:val="0"/>
              </w:rPr>
              <w:t xml:space="preserve">Annex: Workshop materials and presentation slides</w:t>
            </w:r>
          </w:hyperlink>
          <w:hyperlink w:anchor="_snrjvatz9dh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_snrjvatz9dh7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2"/>
        <w:spacing w:after="160" w:before="300" w:lineRule="auto"/>
        <w:rPr/>
      </w:pPr>
      <w:bookmarkStart w:colFirst="0" w:colLast="0" w:name="_xpkakdfxodye" w:id="2"/>
      <w:bookmarkEnd w:id="2"/>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2"/>
        <w:spacing w:after="160" w:before="300" w:lineRule="auto"/>
        <w:rPr/>
      </w:pPr>
      <w:bookmarkStart w:colFirst="0" w:colLast="0" w:name="_c3dhtgoawjni" w:id="3"/>
      <w:bookmarkEnd w:id="3"/>
      <w:r w:rsidDel="00000000" w:rsidR="00000000" w:rsidRPr="00000000">
        <w:rPr>
          <w:rtl w:val="0"/>
        </w:rPr>
        <w:t xml:space="preserve">Agenda and formats</w:t>
      </w:r>
    </w:p>
    <w:tbl>
      <w:tblPr>
        <w:tblStyle w:val="Table1"/>
        <w:tblW w:w="9000.0" w:type="dxa"/>
        <w:jc w:val="left"/>
        <w:tblLayout w:type="fixed"/>
        <w:tblLook w:val="0600"/>
      </w:tblPr>
      <w:tblGrid>
        <w:gridCol w:w="1470"/>
        <w:gridCol w:w="7530"/>
        <w:tblGridChange w:id="0">
          <w:tblGrid>
            <w:gridCol w:w="1470"/>
            <w:gridCol w:w="75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1f5ea" w:val="clear"/>
            <w:tcMar>
              <w:top w:w="0.0" w:type="dxa"/>
              <w:left w:w="0.0" w:type="dxa"/>
              <w:bottom w:w="0.0" w:type="dxa"/>
              <w:right w:w="0.0" w:type="dxa"/>
            </w:tcMar>
            <w:vAlign w:val="bottom"/>
          </w:tcPr>
          <w:p w:rsidR="00000000" w:rsidDel="00000000" w:rsidP="00000000" w:rsidRDefault="00000000" w:rsidRPr="00000000" w14:paraId="00000012">
            <w:pPr>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right="120"/>
              <w:jc w:val="right"/>
              <w:rPr>
                <w:b w:val="1"/>
                <w:bCs w:val="1"/>
              </w:rPr>
            </w:pPr>
            <w:r w:rsidDel="00000000" w:rsidR="00000000" w:rsidRPr="00000000">
              <w:rPr>
                <w:b w:val="1"/>
                <w:bCs w:val="1"/>
                <w:rtl w:val="0"/>
              </w:rPr>
              <w:t xml:space="preserve">Time</w:t>
            </w:r>
          </w:p>
        </w:tc>
        <w:tc>
          <w:tcPr>
            <w:tcBorders>
              <w:top w:color="000000" w:space="0" w:sz="0" w:val="nil"/>
              <w:left w:color="000000" w:space="0" w:sz="0" w:val="nil"/>
              <w:bottom w:color="000000" w:space="0" w:sz="0" w:val="nil"/>
              <w:right w:color="000000" w:space="0" w:sz="0" w:val="nil"/>
            </w:tcBorders>
            <w:shd w:fill="c1f5ea" w:val="clear"/>
            <w:tcMar>
              <w:top w:w="0.0" w:type="dxa"/>
              <w:left w:w="0.0" w:type="dxa"/>
              <w:bottom w:w="0.0" w:type="dxa"/>
              <w:right w:w="0.0" w:type="dxa"/>
            </w:tcMar>
            <w:vAlign w:val="bottom"/>
          </w:tcPr>
          <w:p w:rsidR="00000000" w:rsidDel="00000000" w:rsidP="00000000" w:rsidRDefault="00000000" w:rsidRPr="00000000" w14:paraId="00000013">
            <w:pPr>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left="180" w:firstLine="0"/>
              <w:rPr>
                <w:b w:val="1"/>
                <w:bCs w:val="1"/>
              </w:rPr>
            </w:pPr>
            <w:r w:rsidDel="00000000" w:rsidR="00000000" w:rsidRPr="00000000">
              <w:rPr>
                <w:b w:val="1"/>
                <w:bCs w:val="1"/>
                <w:rtl w:val="0"/>
              </w:rPr>
              <w:t xml:space="preserve">Section</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bottom"/>
          </w:tcPr>
          <w:p w:rsidR="00000000" w:rsidDel="00000000" w:rsidP="00000000" w:rsidRDefault="00000000" w:rsidRPr="00000000" w14:paraId="00000014">
            <w:pPr>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right="120"/>
              <w:jc w:val="right"/>
              <w:rPr/>
            </w:pPr>
            <w:r w:rsidDel="00000000" w:rsidR="00000000" w:rsidRPr="00000000">
              <w:rPr>
                <w:rtl w:val="0"/>
              </w:rPr>
              <w:t xml:space="preserve">10.30</w:t>
            </w:r>
          </w:p>
        </w:tc>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bottom"/>
          </w:tcPr>
          <w:p w:rsidR="00000000" w:rsidDel="00000000" w:rsidP="00000000" w:rsidRDefault="00000000" w:rsidRPr="00000000" w14:paraId="00000015">
            <w:pPr>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left="180" w:firstLine="0"/>
              <w:rPr/>
            </w:pPr>
            <w:r w:rsidDel="00000000" w:rsidR="00000000" w:rsidRPr="00000000">
              <w:rPr>
                <w:rtl w:val="0"/>
              </w:rPr>
              <w:t xml:space="preserve">Welcome &amp; warm-up</w:t>
            </w:r>
          </w:p>
        </w:tc>
      </w:tr>
      <w:tr>
        <w:trPr>
          <w:cantSplit w:val="0"/>
          <w:tblHeader w:val="0"/>
        </w:trPr>
        <w:tc>
          <w:tcPr>
            <w:tcBorders>
              <w:top w:color="000000" w:space="0" w:sz="0" w:val="nil"/>
              <w:left w:color="000000" w:space="0" w:sz="0" w:val="nil"/>
              <w:bottom w:color="000000" w:space="0" w:sz="0" w:val="nil"/>
              <w:right w:color="000000" w:space="0" w:sz="0" w:val="nil"/>
            </w:tcBorders>
            <w:shd w:fill="c1f5ea" w:val="clear"/>
            <w:tcMar>
              <w:top w:w="0.0" w:type="dxa"/>
              <w:left w:w="0.0" w:type="dxa"/>
              <w:bottom w:w="0.0" w:type="dxa"/>
              <w:right w:w="0.0" w:type="dxa"/>
            </w:tcMar>
            <w:vAlign w:val="bottom"/>
          </w:tcPr>
          <w:p w:rsidR="00000000" w:rsidDel="00000000" w:rsidP="00000000" w:rsidRDefault="00000000" w:rsidRPr="00000000" w14:paraId="00000016">
            <w:pPr>
              <w:widowControl w:val="0"/>
              <w:spacing w:after="60" w:before="60" w:line="240" w:lineRule="auto"/>
              <w:ind w:right="120"/>
              <w:jc w:val="right"/>
              <w:rPr>
                <w:color w:val="0e627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1f5ea" w:val="clear"/>
            <w:tcMar>
              <w:top w:w="0.0" w:type="dxa"/>
              <w:left w:w="0.0" w:type="dxa"/>
              <w:bottom w:w="0.0" w:type="dxa"/>
              <w:right w:w="0.0" w:type="dxa"/>
            </w:tcMar>
            <w:vAlign w:val="bottom"/>
          </w:tcPr>
          <w:p w:rsidR="00000000" w:rsidDel="00000000" w:rsidP="00000000" w:rsidRDefault="00000000" w:rsidRPr="00000000" w14:paraId="00000017">
            <w:pPr>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left="180" w:firstLine="0"/>
              <w:rPr/>
            </w:pPr>
            <w:r w:rsidDel="00000000" w:rsidR="00000000" w:rsidRPr="00000000">
              <w:rPr>
                <w:rtl w:val="0"/>
              </w:rPr>
              <w:t xml:space="preserve">Introduction: DANUBE4all project and toolbox</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bottom"/>
          </w:tcPr>
          <w:p w:rsidR="00000000" w:rsidDel="00000000" w:rsidP="00000000" w:rsidRDefault="00000000" w:rsidRPr="00000000" w14:paraId="00000018">
            <w:pPr>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right="120"/>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bottom"/>
          </w:tcPr>
          <w:p w:rsidR="00000000" w:rsidDel="00000000" w:rsidP="00000000" w:rsidRDefault="00000000" w:rsidRPr="00000000" w14:paraId="00000019">
            <w:pPr>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left="180" w:firstLine="0"/>
              <w:rPr/>
            </w:pPr>
            <w:r w:rsidDel="00000000" w:rsidR="00000000" w:rsidRPr="00000000">
              <w:rPr>
                <w:rtl w:val="0"/>
              </w:rPr>
              <w:t xml:space="preserve">Brainwalk: Barriers for CS4Water</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c1f5ea" w:val="clear"/>
            <w:tcMar>
              <w:top w:w="0.0" w:type="dxa"/>
              <w:left w:w="0.0" w:type="dxa"/>
              <w:bottom w:w="0.0" w:type="dxa"/>
              <w:right w:w="0.0" w:type="dxa"/>
            </w:tcMar>
            <w:vAlign w:val="bottom"/>
          </w:tcPr>
          <w:p w:rsidR="00000000" w:rsidDel="00000000" w:rsidP="00000000" w:rsidRDefault="00000000" w:rsidRPr="00000000" w14:paraId="0000001A">
            <w:pPr>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right="120"/>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1f5ea" w:val="clear"/>
            <w:tcMar>
              <w:top w:w="0.0" w:type="dxa"/>
              <w:left w:w="0.0" w:type="dxa"/>
              <w:bottom w:w="0.0" w:type="dxa"/>
              <w:right w:w="0.0" w:type="dxa"/>
            </w:tcMar>
            <w:vAlign w:val="bottom"/>
          </w:tcPr>
          <w:p w:rsidR="00000000" w:rsidDel="00000000" w:rsidP="00000000" w:rsidRDefault="00000000" w:rsidRPr="00000000" w14:paraId="0000001B">
            <w:pPr>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left="180" w:firstLine="0"/>
              <w:rPr/>
            </w:pPr>
            <w:r w:rsidDel="00000000" w:rsidR="00000000" w:rsidRPr="00000000">
              <w:rPr>
                <w:rtl w:val="0"/>
              </w:rPr>
              <w:t xml:space="preserve">Discussion and Prioritization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bottom"/>
          </w:tcPr>
          <w:p w:rsidR="00000000" w:rsidDel="00000000" w:rsidP="00000000" w:rsidRDefault="00000000" w:rsidRPr="00000000" w14:paraId="0000001C">
            <w:pPr>
              <w:widowControl w:val="0"/>
              <w:spacing w:after="60" w:before="60" w:line="240" w:lineRule="auto"/>
              <w:ind w:right="120"/>
              <w:jc w:val="right"/>
              <w:rPr>
                <w:color w:val="0e627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bottom"/>
          </w:tcPr>
          <w:p w:rsidR="00000000" w:rsidDel="00000000" w:rsidP="00000000" w:rsidRDefault="00000000" w:rsidRPr="00000000" w14:paraId="0000001D">
            <w:pPr>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left="180" w:firstLine="0"/>
              <w:rPr/>
            </w:pPr>
            <w:r w:rsidDel="00000000" w:rsidR="00000000" w:rsidRPr="00000000">
              <w:rPr>
                <w:rtl w:val="0"/>
              </w:rPr>
              <w:t xml:space="preserve">Wrap Up &amp; send-off</w:t>
            </w:r>
          </w:p>
        </w:tc>
      </w:tr>
      <w:tr>
        <w:trPr>
          <w:cantSplit w:val="0"/>
          <w:tblHeader w:val="0"/>
        </w:trPr>
        <w:tc>
          <w:tcPr>
            <w:tcBorders>
              <w:top w:color="000000" w:space="0" w:sz="0" w:val="nil"/>
              <w:left w:color="000000" w:space="0" w:sz="0" w:val="nil"/>
              <w:bottom w:color="000000" w:space="0" w:sz="0" w:val="nil"/>
              <w:right w:color="000000" w:space="0" w:sz="0" w:val="nil"/>
            </w:tcBorders>
            <w:shd w:fill="c1f5ea" w:val="clear"/>
            <w:tcMar>
              <w:top w:w="0.0" w:type="dxa"/>
              <w:left w:w="0.0" w:type="dxa"/>
              <w:bottom w:w="0.0" w:type="dxa"/>
              <w:right w:w="0.0" w:type="dxa"/>
            </w:tcMar>
            <w:vAlign w:val="bottom"/>
          </w:tcPr>
          <w:p w:rsidR="00000000" w:rsidDel="00000000" w:rsidP="00000000" w:rsidRDefault="00000000" w:rsidRPr="00000000" w14:paraId="0000001E">
            <w:pPr>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right="120"/>
              <w:jc w:val="right"/>
              <w:rPr>
                <w:color w:val="000000"/>
              </w:rPr>
            </w:pPr>
            <w:r w:rsidDel="00000000" w:rsidR="00000000" w:rsidRPr="00000000">
              <w:rPr>
                <w:color w:val="000000"/>
                <w:rtl w:val="0"/>
              </w:rPr>
              <w:t xml:space="preserve">12.00</w:t>
            </w:r>
          </w:p>
        </w:tc>
        <w:tc>
          <w:tcPr>
            <w:tcBorders>
              <w:top w:color="000000" w:space="0" w:sz="0" w:val="nil"/>
              <w:left w:color="000000" w:space="0" w:sz="0" w:val="nil"/>
              <w:bottom w:color="000000" w:space="0" w:sz="0" w:val="nil"/>
              <w:right w:color="000000" w:space="0" w:sz="0" w:val="nil"/>
            </w:tcBorders>
            <w:shd w:fill="c1f5ea" w:val="clear"/>
            <w:tcMar>
              <w:top w:w="0.0" w:type="dxa"/>
              <w:left w:w="0.0" w:type="dxa"/>
              <w:bottom w:w="0.0" w:type="dxa"/>
              <w:right w:w="0.0" w:type="dxa"/>
            </w:tcMar>
            <w:vAlign w:val="bottom"/>
          </w:tcPr>
          <w:p w:rsidR="00000000" w:rsidDel="00000000" w:rsidP="00000000" w:rsidRDefault="00000000" w:rsidRPr="00000000" w14:paraId="0000001F">
            <w:pPr>
              <w:widowControl w:val="0"/>
              <w:pBdr>
                <w:top w:color="auto" w:space="0" w:sz="0" w:val="none"/>
                <w:left w:color="auto" w:space="0" w:sz="0" w:val="none"/>
                <w:bottom w:color="auto" w:space="0" w:sz="0" w:val="none"/>
                <w:right w:color="auto" w:space="0" w:sz="0" w:val="none"/>
                <w:between w:color="auto" w:space="0" w:sz="0" w:val="none"/>
              </w:pBdr>
              <w:spacing w:after="60" w:before="60" w:line="240" w:lineRule="auto"/>
              <w:ind w:left="180" w:firstLine="0"/>
              <w:rPr/>
            </w:pPr>
            <w:r w:rsidDel="00000000" w:rsidR="00000000" w:rsidRPr="00000000">
              <w:rPr>
                <w:rtl w:val="0"/>
              </w:rPr>
              <w:t xml:space="preserve">Workshop End</w:t>
            </w:r>
          </w:p>
        </w:tc>
      </w:tr>
    </w:tbl>
    <w:p w:rsidR="00000000" w:rsidDel="00000000" w:rsidP="00000000" w:rsidRDefault="00000000" w:rsidRPr="00000000" w14:paraId="00000020">
      <w:pPr>
        <w:pStyle w:val="Heading2"/>
        <w:spacing w:after="160" w:before="300" w:lineRule="auto"/>
        <w:rPr/>
      </w:pPr>
      <w:bookmarkStart w:colFirst="0" w:colLast="0" w:name="_eqp3so1am8s3" w:id="4"/>
      <w:bookmarkEnd w:id="4"/>
      <w:r w:rsidDel="00000000" w:rsidR="00000000" w:rsidRPr="00000000">
        <w:rPr>
          <w:rtl w:val="0"/>
        </w:rPr>
        <w:t xml:space="preserve">Introduction and objectives</w:t>
      </w:r>
    </w:p>
    <w:p w:rsidR="00000000" w:rsidDel="00000000" w:rsidP="00000000" w:rsidRDefault="00000000" w:rsidRPr="00000000" w14:paraId="00000021">
      <w:pPr>
        <w:rPr>
          <w:rFonts w:ascii="Gill Sans" w:cs="Gill Sans" w:eastAsia="Gill Sans" w:hAnsi="Gill Sans"/>
        </w:rPr>
      </w:pPr>
      <w:r w:rsidDel="00000000" w:rsidR="00000000" w:rsidRPr="00000000">
        <w:rPr>
          <w:rFonts w:ascii="Gill Sans" w:cs="Gill Sans" w:eastAsia="Gill Sans" w:hAnsi="Gill Sans"/>
          <w:rtl w:val="0"/>
        </w:rPr>
        <w:t xml:space="preserve">The Danube is Europe’s second-longest river, stretching 2,850 kilometers from its source in the Black Forest to the shores of the Black Sea. In total, the Danube River Basin (DRB) and its waters underpin the diverse riverine habitats and ecosystems of 20 European countries. Because of its immense environmental, cultural and economic importance, both local and international cooperation are essential to safeguard the DRB and its ecosystems. </w:t>
      </w:r>
    </w:p>
    <w:p w:rsidR="00000000" w:rsidDel="00000000" w:rsidP="00000000" w:rsidRDefault="00000000" w:rsidRPr="00000000" w14:paraId="00000022">
      <w:pPr>
        <w:rPr/>
      </w:pPr>
      <w:r w:rsidDel="00000000" w:rsidR="00000000" w:rsidRPr="00000000">
        <w:rPr>
          <w:rtl w:val="0"/>
        </w:rPr>
        <w:t xml:space="preserve">In our workshop at the CS4Water Conference in Delft, we invited participants to reflect on the barriers encountered when doing citizen science in relation to aquatic ecosystems. Beyond showcasing the </w:t>
      </w:r>
      <w:hyperlink r:id="rId6">
        <w:r w:rsidDel="00000000" w:rsidR="00000000" w:rsidRPr="00000000">
          <w:rPr>
            <w:color w:val="1155cc"/>
            <w:u w:val="single"/>
            <w:rtl w:val="0"/>
          </w:rPr>
          <w:t xml:space="preserve">DANUBE4all project</w:t>
        </w:r>
      </w:hyperlink>
      <w:r w:rsidDel="00000000" w:rsidR="00000000" w:rsidRPr="00000000">
        <w:rPr>
          <w:rtl w:val="0"/>
        </w:rPr>
        <w:t xml:space="preserve"> and the </w:t>
      </w:r>
      <w:hyperlink r:id="rId7">
        <w:r w:rsidDel="00000000" w:rsidR="00000000" w:rsidRPr="00000000">
          <w:rPr>
            <w:color w:val="1155cc"/>
            <w:u w:val="single"/>
            <w:rtl w:val="0"/>
          </w:rPr>
          <w:t xml:space="preserve">toolbox</w:t>
        </w:r>
      </w:hyperlink>
      <w:r w:rsidDel="00000000" w:rsidR="00000000" w:rsidRPr="00000000">
        <w:rPr>
          <w:rtl w:val="0"/>
        </w:rPr>
        <w:t xml:space="preserve"> </w:t>
      </w:r>
      <w:r w:rsidDel="00000000" w:rsidR="00000000" w:rsidRPr="00000000">
        <w:rPr>
          <w:rtl w:val="0"/>
        </w:rPr>
        <w:t xml:space="preserve">in development within the project, the workshop aimed to exchange experiences and leverage the wisdom of the crowd in order to collaboratively gain a better understanding of barriers for CS4Water. These barriers were also prioritized to allow for follow-up activities to work on solutions. </w:t>
      </w:r>
    </w:p>
    <w:p w:rsidR="00000000" w:rsidDel="00000000" w:rsidP="00000000" w:rsidRDefault="00000000" w:rsidRPr="00000000" w14:paraId="00000023">
      <w:pPr>
        <w:pStyle w:val="Heading2"/>
        <w:spacing w:after="160" w:before="300" w:lineRule="auto"/>
        <w:rPr/>
      </w:pPr>
      <w:bookmarkStart w:colFirst="0" w:colLast="0" w:name="_a8eose144vk" w:id="5"/>
      <w:bookmarkEnd w:id="5"/>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2"/>
        <w:rPr>
          <w:sz w:val="30"/>
          <w:szCs w:val="30"/>
        </w:rPr>
      </w:pPr>
      <w:bookmarkStart w:colFirst="0" w:colLast="0" w:name="_psw38qrives7" w:id="6"/>
      <w:bookmarkEnd w:id="6"/>
      <w:r w:rsidDel="00000000" w:rsidR="00000000" w:rsidRPr="00000000">
        <w:rPr>
          <w:rtl w:val="0"/>
        </w:rPr>
        <w:t xml:space="preserve">Summary of the workshop</w:t>
      </w:r>
      <w:r w:rsidDel="00000000" w:rsidR="00000000" w:rsidRPr="00000000">
        <w:rPr>
          <w:rtl w:val="0"/>
        </w:rPr>
      </w:r>
    </w:p>
    <w:p w:rsidR="00000000" w:rsidDel="00000000" w:rsidP="00000000" w:rsidRDefault="00000000" w:rsidRPr="00000000" w14:paraId="00000025">
      <w:pPr>
        <w:pStyle w:val="Heading3"/>
        <w:rPr>
          <w:sz w:val="26"/>
          <w:szCs w:val="26"/>
        </w:rPr>
      </w:pPr>
      <w:bookmarkStart w:colFirst="0" w:colLast="0" w:name="_pdvudaogoxj7" w:id="7"/>
      <w:bookmarkEnd w:id="7"/>
      <w:r w:rsidDel="00000000" w:rsidR="00000000" w:rsidRPr="00000000">
        <w:rPr>
          <w:rtl w:val="0"/>
        </w:rPr>
        <w:t xml:space="preserve">Introductions to DANUBE4all and its toolbox</w:t>
      </w:r>
      <w:r w:rsidDel="00000000" w:rsidR="00000000" w:rsidRPr="00000000">
        <w:rPr>
          <w:rtl w:val="0"/>
        </w:rPr>
      </w:r>
    </w:p>
    <w:p w:rsidR="00000000" w:rsidDel="00000000" w:rsidP="00000000" w:rsidRDefault="00000000" w:rsidRPr="00000000" w14:paraId="00000026">
      <w:pPr>
        <w:rPr/>
      </w:pPr>
      <w:hyperlink r:id="rId8">
        <w:r w:rsidDel="00000000" w:rsidR="00000000" w:rsidRPr="00000000">
          <w:rPr>
            <w:b w:val="1"/>
            <w:bCs w:val="1"/>
            <w:color w:val="1155cc"/>
            <w:u w:val="single"/>
            <w:rtl w:val="0"/>
          </w:rPr>
          <w:t xml:space="preserve">DANUBE4all</w:t>
        </w:r>
      </w:hyperlink>
      <w:r w:rsidDel="00000000" w:rsidR="00000000" w:rsidRPr="00000000">
        <w:rPr>
          <w:b w:val="1"/>
          <w:bCs w:val="1"/>
          <w:rtl w:val="0"/>
        </w:rPr>
        <w:t xml:space="preserve"> </w:t>
      </w:r>
      <w:r w:rsidDel="00000000" w:rsidR="00000000" w:rsidRPr="00000000">
        <w:rPr>
          <w:rtl w:val="0"/>
        </w:rPr>
        <w:t xml:space="preserve">was presented by Stefanie Schuerz. It is an EU ‘Lighthouse Initiative’ in support of the EU Mission “Restore our ocean and waters by 2030". The vision of DANUBE4all is to jointly work on sustainable and interdisciplinary restoration pathways for the Danube River Basin. This builds on an underlying </w:t>
      </w:r>
      <w:hyperlink r:id="rId9">
        <w:r w:rsidDel="00000000" w:rsidR="00000000" w:rsidRPr="00000000">
          <w:rPr>
            <w:color w:val="1155cc"/>
            <w:u w:val="single"/>
            <w:rtl w:val="0"/>
          </w:rPr>
          <w:t xml:space="preserve">science-to-people approach</w:t>
        </w:r>
      </w:hyperlink>
      <w:r w:rsidDel="00000000" w:rsidR="00000000" w:rsidRPr="00000000">
        <w:rPr>
          <w:rtl w:val="0"/>
        </w:rPr>
        <w:t xml:space="preserve"> (i.e., societal co-creation), which actively integrates inhabitants’ interests and empowers Danube stakeholders, from local communities, SMEs, investors, policy makers and the business sector. The main output of DANUBE4all is the Danube Basin Restoration Action Plan, which will be an important basis for the next update of the Danube and national River Basin Management Plans (DRBMP), the Danube Flood Risk Management Plans and the future National Restoration Plans.</w:t>
      </w:r>
    </w:p>
    <w:p w:rsidR="00000000" w:rsidDel="00000000" w:rsidP="00000000" w:rsidRDefault="00000000" w:rsidRPr="00000000" w14:paraId="00000027">
      <w:pPr>
        <w:rPr/>
      </w:pPr>
      <w:r w:rsidDel="00000000" w:rsidR="00000000" w:rsidRPr="00000000">
        <w:rPr>
          <w:rtl w:val="0"/>
        </w:rPr>
        <w:t xml:space="preserve">The </w:t>
      </w:r>
      <w:hyperlink r:id="rId10">
        <w:r w:rsidDel="00000000" w:rsidR="00000000" w:rsidRPr="00000000">
          <w:rPr>
            <w:b w:val="1"/>
            <w:bCs w:val="1"/>
            <w:color w:val="1155cc"/>
            <w:u w:val="single"/>
            <w:rtl w:val="0"/>
          </w:rPr>
          <w:t xml:space="preserve">DANUBE4all Citizen Science Toolbox</w:t>
        </w:r>
      </w:hyperlink>
      <w:r w:rsidDel="00000000" w:rsidR="00000000" w:rsidRPr="00000000">
        <w:rPr>
          <w:rtl w:val="0"/>
        </w:rPr>
        <w:t xml:space="preserve"> was presented by Grace Saville. </w:t>
      </w:r>
      <w:r w:rsidDel="00000000" w:rsidR="00000000" w:rsidRPr="00000000">
        <w:rPr>
          <w:rtl w:val="0"/>
        </w:rPr>
        <w:t xml:space="preserve">With the science-to-people approach as outlined above in mind, the first version of the Citizen Science (CS) Toolbox was developed to support the activation of a local hands-on approach to ecological restoration. The goal of the toolbox is to present potential citizen scientists with the necessary information, methods, and tools for them to take independent action, not just during the timeline of DANUBE4all but also beyond the conclusion of the project. In particular, the CS Toolbox content is targeted at local grassroots initiatives which are lacking the tools and connections to get a project off the ground. Nevertheless, the content can be applicable across a broad audience. The toolbox itself is hosted online by Pulsaqua and is currently divided into three services; an information page for beginners, a tools and methods quiz, and an AI help chatbot. Development of the CS Toolbox will continue and be guided by feedback such as that elicited in this workshop.</w:t>
      </w:r>
      <w:r w:rsidDel="00000000" w:rsidR="00000000" w:rsidRPr="00000000">
        <w:rPr>
          <w:rtl w:val="0"/>
        </w:rPr>
      </w:r>
    </w:p>
    <w:p w:rsidR="00000000" w:rsidDel="00000000" w:rsidP="00000000" w:rsidRDefault="00000000" w:rsidRPr="00000000" w14:paraId="00000028">
      <w:pPr>
        <w:pStyle w:val="Heading3"/>
        <w:rPr/>
      </w:pPr>
      <w:bookmarkStart w:colFirst="0" w:colLast="0" w:name="_xufw77b9vsgb" w:id="8"/>
      <w:bookmarkEnd w:id="8"/>
      <w:r w:rsidDel="00000000" w:rsidR="00000000" w:rsidRPr="00000000">
        <w:rPr>
          <w:rtl w:val="0"/>
        </w:rPr>
        <w:t xml:space="preserve">Brainwalk on barriers for CS4Water</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To explore the barriers our participants experienced when implementing citizen science actions for aquatic ecosystems, we employed a brainwalk format as the main activity of the workshop. First in individual contemplation and then in smaller discussion groups, we dove into the barriers for four different stakeholder groups - namely citizens, professional researchers, research institutions, and policymakers - as well as in terms of material, technological, and knowledge resources. The results, as presented in the plenary, are detailed below. Images of the original brainwalk flipcharts are included in the annex of this report. </w:t>
      </w:r>
    </w:p>
    <w:p w:rsidR="00000000" w:rsidDel="00000000" w:rsidP="00000000" w:rsidRDefault="00000000" w:rsidRPr="00000000" w14:paraId="0000002A">
      <w:pPr>
        <w:pStyle w:val="Heading4"/>
        <w:spacing w:before="240" w:lineRule="auto"/>
        <w:rPr/>
      </w:pPr>
      <w:bookmarkStart w:colFirst="0" w:colLast="0" w:name="_1d1hnn9laq0f" w:id="9"/>
      <w:bookmarkEnd w:id="9"/>
      <w:r w:rsidDel="00000000" w:rsidR="00000000" w:rsidRPr="00000000">
        <w:rPr>
          <w:rtl w:val="0"/>
        </w:rPr>
        <w:t xml:space="preserve">Stakeholder group: Citizens</w:t>
      </w:r>
    </w:p>
    <w:p w:rsidR="00000000" w:rsidDel="00000000" w:rsidP="00000000" w:rsidRDefault="00000000" w:rsidRPr="00000000" w14:paraId="0000002B">
      <w:pPr>
        <w:rPr/>
      </w:pPr>
      <w:r w:rsidDel="00000000" w:rsidR="00000000" w:rsidRPr="00000000">
        <w:rPr>
          <w:rtl w:val="0"/>
        </w:rPr>
        <w:t xml:space="preserve">Participant inputs on the barriers related to citizen involvement in CS4Water were grouped into four clusters: </w:t>
      </w:r>
    </w:p>
    <w:p w:rsidR="00000000" w:rsidDel="00000000" w:rsidP="00000000" w:rsidRDefault="00000000" w:rsidRPr="00000000" w14:paraId="0000002C">
      <w:pPr>
        <w:rPr/>
      </w:pPr>
      <w:r w:rsidDel="00000000" w:rsidR="00000000" w:rsidRPr="00000000">
        <w:rPr>
          <w:b w:val="1"/>
          <w:bCs w:val="1"/>
          <w:rtl w:val="0"/>
        </w:rPr>
        <w:t xml:space="preserve">Entry points and motivation: </w:t>
      </w:r>
      <w:r w:rsidDel="00000000" w:rsidR="00000000" w:rsidRPr="00000000">
        <w:rPr>
          <w:rtl w:val="0"/>
        </w:rPr>
        <w:t xml:space="preserve">A lot of comments revolved </w:t>
      </w:r>
      <w:r w:rsidDel="00000000" w:rsidR="00000000" w:rsidRPr="00000000">
        <w:rPr>
          <w:rtl w:val="0"/>
        </w:rPr>
        <w:t xml:space="preserve">around the entry points and motivation to initially get involved with a citizen science activity. This includes awareness and understanding of an issue, people’s feeling of connection to it, as well as the potentially steep learning curve involved in understanding why citizen contributions are important. Another facet of this are  the required time commitments that might also negatively affect participants’ sustained motivation to contribute. </w:t>
      </w:r>
    </w:p>
    <w:p w:rsidR="00000000" w:rsidDel="00000000" w:rsidP="00000000" w:rsidRDefault="00000000" w:rsidRPr="00000000" w14:paraId="0000002D">
      <w:pPr>
        <w:rPr/>
      </w:pPr>
      <w:r w:rsidDel="00000000" w:rsidR="00000000" w:rsidRPr="00000000">
        <w:rPr>
          <w:b w:val="1"/>
          <w:bCs w:val="1"/>
          <w:rtl w:val="0"/>
        </w:rPr>
        <w:t xml:space="preserve">Technologies, tools and complexities:</w:t>
      </w:r>
      <w:r w:rsidDel="00000000" w:rsidR="00000000" w:rsidRPr="00000000">
        <w:rPr>
          <w:rtl w:val="0"/>
        </w:rPr>
        <w:t xml:space="preserve"> Even when people are already involved, other barriers come into play, including language barriers that exist not just between distinct languages but between different dialects and between professional and citizen scientists’ language use. Apps and websites are also not always user friendly, and sampling methodologies may be too complex, there is often a lack of standardized tools, and training required for the use of tools may be lacking. </w:t>
      </w:r>
    </w:p>
    <w:p w:rsidR="00000000" w:rsidDel="00000000" w:rsidP="00000000" w:rsidRDefault="00000000" w:rsidRPr="00000000" w14:paraId="0000002E">
      <w:pPr>
        <w:rPr/>
      </w:pPr>
      <w:r w:rsidDel="00000000" w:rsidR="00000000" w:rsidRPr="00000000">
        <w:rPr>
          <w:b w:val="1"/>
          <w:bCs w:val="1"/>
          <w:rtl w:val="0"/>
        </w:rPr>
        <w:t xml:space="preserve">Impact, feedback, and compensation: </w:t>
      </w:r>
      <w:r w:rsidDel="00000000" w:rsidR="00000000" w:rsidRPr="00000000">
        <w:rPr>
          <w:rtl w:val="0"/>
        </w:rPr>
        <w:t xml:space="preserve">Once work has been done, participants are often not </w:t>
      </w:r>
      <w:r w:rsidDel="00000000" w:rsidR="00000000" w:rsidRPr="00000000">
        <w:rPr>
          <w:rtl w:val="0"/>
        </w:rPr>
        <w:t xml:space="preserve">able to see the impact of what they've been doing, which might be exacerbated when they're volunteering or not well compensated. As such, seeing tangible outputs and incremental impact in really accessible formats are important for continued participant involvement. While the lack of incentives and rewards was a more generally remarked-upon issue, the discussion also brought into play a kind of regular compensation for participants doing more intensive work.</w:t>
      </w:r>
    </w:p>
    <w:p w:rsidR="00000000" w:rsidDel="00000000" w:rsidP="00000000" w:rsidRDefault="00000000" w:rsidRPr="00000000" w14:paraId="0000002F">
      <w:pPr>
        <w:rPr/>
      </w:pPr>
      <w:r w:rsidDel="00000000" w:rsidR="00000000" w:rsidRPr="00000000">
        <w:rPr>
          <w:b w:val="1"/>
          <w:bCs w:val="1"/>
          <w:rtl w:val="0"/>
        </w:rPr>
        <w:t xml:space="preserve">Safety and accessibility: </w:t>
      </w:r>
      <w:r w:rsidDel="00000000" w:rsidR="00000000" w:rsidRPr="00000000">
        <w:rPr>
          <w:rtl w:val="0"/>
        </w:rPr>
        <w:t xml:space="preserve">Finally, </w:t>
      </w:r>
      <w:r w:rsidDel="00000000" w:rsidR="00000000" w:rsidRPr="00000000">
        <w:rPr>
          <w:rtl w:val="0"/>
        </w:rPr>
        <w:t xml:space="preserve">barriers were also interpreted in a very physical manner and related to the question of safety that comes up when people are literally getting to river banks and into waterways to provide measurements. This brought up questions of safety on the one hand, with participants potentially endangering their health and safety for citizen science activities. On the other hand, it also brought up questions of accessibility, since such waterways might be outside of areas serviced by public transport, which makes them hard to reach places for testing. </w:t>
      </w:r>
    </w:p>
    <w:p w:rsidR="00000000" w:rsidDel="00000000" w:rsidP="00000000" w:rsidRDefault="00000000" w:rsidRPr="00000000" w14:paraId="00000030">
      <w:pPr>
        <w:pStyle w:val="Heading4"/>
        <w:rPr/>
      </w:pPr>
      <w:bookmarkStart w:colFirst="0" w:colLast="0" w:name="_ryoell65vom8" w:id="10"/>
      <w:bookmarkEnd w:id="10"/>
      <w:r w:rsidDel="00000000" w:rsidR="00000000" w:rsidRPr="00000000">
        <w:rPr>
          <w:rtl w:val="0"/>
        </w:rPr>
        <w:t xml:space="preserve">Stakeholder group: Professional researchers</w:t>
      </w:r>
    </w:p>
    <w:p w:rsidR="00000000" w:rsidDel="00000000" w:rsidP="00000000" w:rsidRDefault="00000000" w:rsidRPr="00000000" w14:paraId="00000031">
      <w:pPr>
        <w:rPr/>
      </w:pPr>
      <w:r w:rsidDel="00000000" w:rsidR="00000000" w:rsidRPr="00000000">
        <w:rPr>
          <w:rtl w:val="0"/>
        </w:rPr>
        <w:t xml:space="preserve">For the group of professional researchers, two main barriers were outlined: </w:t>
      </w:r>
    </w:p>
    <w:p w:rsidR="00000000" w:rsidDel="00000000" w:rsidP="00000000" w:rsidRDefault="00000000" w:rsidRPr="00000000" w14:paraId="00000032">
      <w:pPr>
        <w:rPr/>
      </w:pPr>
      <w:r w:rsidDel="00000000" w:rsidR="00000000" w:rsidRPr="00000000">
        <w:rPr>
          <w:b w:val="1"/>
          <w:bCs w:val="1"/>
          <w:rtl w:val="0"/>
        </w:rPr>
        <w:t xml:space="preserve">Trust in data: </w:t>
      </w:r>
      <w:r w:rsidDel="00000000" w:rsidR="00000000" w:rsidRPr="00000000">
        <w:rPr>
          <w:rtl w:val="0"/>
        </w:rPr>
        <w:t xml:space="preserve">There is a struggle for citizen science-generated data to be trusted, exacerbated by actual issues with data consistency and quality that also stems from complicated sampling instructions, limited comparability of data from mixed citizen science methods, as well as insufficient standardization and benchmarking that enables a better understanding of what citizen science is really about. In turn, publishing such data in traditional journals is still proving difficult, which might also have some grounding in the confines of hypothesis-driven research not being entirely compatible with the way citizen science operates. And while citizen science might by some be valued mainly for outreach purposes, the discussion also brought up the important question of </w:t>
      </w:r>
      <w:r w:rsidDel="00000000" w:rsidR="00000000" w:rsidRPr="00000000">
        <w:rPr>
          <w:rtl w:val="0"/>
        </w:rPr>
        <w:t xml:space="preserve">what purpose the data serves – whether it is mainly for research or papers, or whether it is for evidence-based policymaking or citizen advocacy, for instance. </w:t>
      </w:r>
    </w:p>
    <w:p w:rsidR="00000000" w:rsidDel="00000000" w:rsidP="00000000" w:rsidRDefault="00000000" w:rsidRPr="00000000" w14:paraId="00000033">
      <w:pPr>
        <w:rPr/>
      </w:pPr>
      <w:r w:rsidDel="00000000" w:rsidR="00000000" w:rsidRPr="00000000">
        <w:rPr>
          <w:b w:val="1"/>
          <w:bCs w:val="1"/>
          <w:rtl w:val="0"/>
        </w:rPr>
        <w:t xml:space="preserve">Funding and sustainability: </w:t>
      </w:r>
      <w:r w:rsidDel="00000000" w:rsidR="00000000" w:rsidRPr="00000000">
        <w:rPr>
          <w:rtl w:val="0"/>
        </w:rPr>
        <w:t xml:space="preserve">The other big issue revolves around the challenges involved in being dependent on external funding to support initiatives, which come with certain restraints, including the limited length of such projects that make it harder to sustain an active community after it has been built but the project has ended. As such, not just the </w:t>
      </w:r>
      <w:r w:rsidDel="00000000" w:rsidR="00000000" w:rsidRPr="00000000">
        <w:rPr>
          <w:rtl w:val="0"/>
        </w:rPr>
        <w:t xml:space="preserve">sustainability of the outputs and results beyond the project runtime are in question, but also the sustainability of the community efforts invested. Resources are needed not just for staff and materials, but also for evaluations after the end of a project. Institutional hierarchies were also brought up as a potential barrier in this respect, especially when working in a university setting.</w:t>
      </w:r>
    </w:p>
    <w:p w:rsidR="00000000" w:rsidDel="00000000" w:rsidP="00000000" w:rsidRDefault="00000000" w:rsidRPr="00000000" w14:paraId="00000034">
      <w:pPr>
        <w:pStyle w:val="Heading4"/>
        <w:rPr/>
      </w:pPr>
      <w:bookmarkStart w:colFirst="0" w:colLast="0" w:name="_l95t8tn0ygks" w:id="11"/>
      <w:bookmarkEnd w:id="11"/>
      <w:r w:rsidDel="00000000" w:rsidR="00000000" w:rsidRPr="00000000">
        <w:rPr>
          <w:rtl w:val="0"/>
        </w:rPr>
        <w:t xml:space="preserve">Stakeholder group: Research institutions</w:t>
      </w:r>
    </w:p>
    <w:p w:rsidR="00000000" w:rsidDel="00000000" w:rsidP="00000000" w:rsidRDefault="00000000" w:rsidRPr="00000000" w14:paraId="00000035">
      <w:pPr>
        <w:rPr/>
      </w:pPr>
      <w:r w:rsidDel="00000000" w:rsidR="00000000" w:rsidRPr="00000000">
        <w:rPr>
          <w:rtl w:val="0"/>
        </w:rPr>
        <w:t xml:space="preserve">For the stakeholder group of research institutions, four main barriers were elicited from participant inputs: </w:t>
      </w:r>
    </w:p>
    <w:p w:rsidR="00000000" w:rsidDel="00000000" w:rsidP="00000000" w:rsidRDefault="00000000" w:rsidRPr="00000000" w14:paraId="00000036">
      <w:pPr>
        <w:rPr/>
      </w:pPr>
      <w:r w:rsidDel="00000000" w:rsidR="00000000" w:rsidRPr="00000000">
        <w:rPr>
          <w:b w:val="1"/>
          <w:bCs w:val="1"/>
          <w:rtl w:val="0"/>
        </w:rPr>
        <w:t xml:space="preserve">Funding:</w:t>
      </w:r>
      <w:r w:rsidDel="00000000" w:rsidR="00000000" w:rsidRPr="00000000">
        <w:rPr>
          <w:rtl w:val="0"/>
        </w:rPr>
        <w:t xml:space="preserve"> Similar to the previous group, in relation to research institutions, participants also found that funding structures do not accommodate ongoing projects or co-design of research projects, which is further exacerbated by limited support from “higher up” in the institutional hierarchy. </w:t>
      </w:r>
    </w:p>
    <w:p w:rsidR="00000000" w:rsidDel="00000000" w:rsidP="00000000" w:rsidRDefault="00000000" w:rsidRPr="00000000" w14:paraId="00000037">
      <w:pPr>
        <w:rPr/>
      </w:pPr>
      <w:r w:rsidDel="00000000" w:rsidR="00000000" w:rsidRPr="00000000">
        <w:rPr>
          <w:b w:val="1"/>
          <w:bCs w:val="1"/>
          <w:rtl w:val="0"/>
        </w:rPr>
        <w:t xml:space="preserve">Rewards and recognition: </w:t>
      </w:r>
      <w:r w:rsidDel="00000000" w:rsidR="00000000" w:rsidRPr="00000000">
        <w:rPr>
          <w:rtl w:val="0"/>
        </w:rPr>
        <w:t xml:space="preserve">This also ties into a </w:t>
      </w:r>
      <w:r w:rsidDel="00000000" w:rsidR="00000000" w:rsidRPr="00000000">
        <w:rPr>
          <w:rtl w:val="0"/>
        </w:rPr>
        <w:t xml:space="preserve">lack of systems of rewards and recognition for citizen science activities, especially impacting researchers operating within research institutions themselves who do not receive any rewards relevant to their academic careers from doing participatory research. This is exacerbated by the fact that research systems place little value on the outputs that are most impactful for citizen science. </w:t>
      </w:r>
    </w:p>
    <w:p w:rsidR="00000000" w:rsidDel="00000000" w:rsidP="00000000" w:rsidRDefault="00000000" w:rsidRPr="00000000" w14:paraId="00000038">
      <w:pPr>
        <w:rPr/>
      </w:pPr>
      <w:r w:rsidDel="00000000" w:rsidR="00000000" w:rsidRPr="00000000">
        <w:rPr>
          <w:b w:val="1"/>
          <w:bCs w:val="1"/>
          <w:rtl w:val="0"/>
        </w:rPr>
        <w:t xml:space="preserve">Citizen science framework: </w:t>
      </w:r>
      <w:r w:rsidDel="00000000" w:rsidR="00000000" w:rsidRPr="00000000">
        <w:rPr>
          <w:rtl w:val="0"/>
        </w:rPr>
        <w:t xml:space="preserve">There is no real framework in place that enables the implementation of </w:t>
      </w:r>
      <w:r w:rsidDel="00000000" w:rsidR="00000000" w:rsidRPr="00000000">
        <w:rPr>
          <w:rtl w:val="0"/>
        </w:rPr>
        <w:t xml:space="preserve">citizen science projects from beginning to end, and ensuring long-term implementation beyond the timespan of a PhD. Citizen science is usually not prioritized in work programmes of funding agencies while support systems for knowledge exchange on citizen science are missing leading to a doubling of work and a repeat of similar mistakes. </w:t>
      </w:r>
    </w:p>
    <w:p w:rsidR="00000000" w:rsidDel="00000000" w:rsidP="00000000" w:rsidRDefault="00000000" w:rsidRPr="00000000" w14:paraId="00000039">
      <w:pPr>
        <w:rPr/>
      </w:pPr>
      <w:r w:rsidDel="00000000" w:rsidR="00000000" w:rsidRPr="00000000">
        <w:rPr>
          <w:b w:val="1"/>
          <w:bCs w:val="1"/>
          <w:rtl w:val="0"/>
        </w:rPr>
        <w:t xml:space="preserve">The value of citizen science: </w:t>
      </w:r>
      <w:r w:rsidDel="00000000" w:rsidR="00000000" w:rsidRPr="00000000">
        <w:rPr>
          <w:rtl w:val="0"/>
        </w:rPr>
        <w:t xml:space="preserve">From these context conditions, participants drew a vicious cycle hinging on the overall question of the </w:t>
      </w:r>
      <w:r w:rsidDel="00000000" w:rsidR="00000000" w:rsidRPr="00000000">
        <w:rPr>
          <w:rtl w:val="0"/>
        </w:rPr>
        <w:t xml:space="preserve">value of citizen science. Because there is not enough perceived value of citizen science as an approach, this automatically means there is not enough funding, not enough engagement, which means no real framework for citizen science can emerge from practice, which in turn means there is little recognition tied to doing citizen science as a researcher within research institutions. </w:t>
      </w:r>
    </w:p>
    <w:p w:rsidR="00000000" w:rsidDel="00000000" w:rsidP="00000000" w:rsidRDefault="00000000" w:rsidRPr="00000000" w14:paraId="0000003A">
      <w:pPr>
        <w:rPr/>
      </w:pPr>
      <w:r w:rsidDel="00000000" w:rsidR="00000000" w:rsidRPr="00000000">
        <w:rPr>
          <w:rtl w:val="0"/>
        </w:rPr>
        <w:t xml:space="preserve">The group identified three recommendations to break this cycle: 1) simplifying information in a way that is easily accessible; 2) training for outreach and public communication; 3) more individual actions than institutional projects. </w:t>
      </w:r>
    </w:p>
    <w:p w:rsidR="00000000" w:rsidDel="00000000" w:rsidP="00000000" w:rsidRDefault="00000000" w:rsidRPr="00000000" w14:paraId="0000003B">
      <w:pPr>
        <w:pStyle w:val="Heading4"/>
        <w:rPr/>
      </w:pPr>
      <w:bookmarkStart w:colFirst="0" w:colLast="0" w:name="_kisvnrbajsv4" w:id="12"/>
      <w:bookmarkEnd w:id="12"/>
      <w:r w:rsidDel="00000000" w:rsidR="00000000" w:rsidRPr="00000000">
        <w:rPr>
          <w:rtl w:val="0"/>
        </w:rPr>
        <w:t xml:space="preserve">Stakeholder group: Policymakers</w:t>
      </w:r>
    </w:p>
    <w:p w:rsidR="00000000" w:rsidDel="00000000" w:rsidP="00000000" w:rsidRDefault="00000000" w:rsidRPr="00000000" w14:paraId="0000003C">
      <w:pPr>
        <w:rPr/>
      </w:pPr>
      <w:r w:rsidDel="00000000" w:rsidR="00000000" w:rsidRPr="00000000">
        <w:rPr>
          <w:rtl w:val="0"/>
        </w:rPr>
        <w:t xml:space="preserve">On the side of policymakers, the group identified a total of five dimensions while also showing some overlap with the other groups: </w:t>
      </w:r>
    </w:p>
    <w:p w:rsidR="00000000" w:rsidDel="00000000" w:rsidP="00000000" w:rsidRDefault="00000000" w:rsidRPr="00000000" w14:paraId="0000003D">
      <w:pPr>
        <w:rPr/>
      </w:pPr>
      <w:r w:rsidDel="00000000" w:rsidR="00000000" w:rsidRPr="00000000">
        <w:rPr>
          <w:b w:val="1"/>
          <w:bCs w:val="1"/>
          <w:rtl w:val="0"/>
        </w:rPr>
        <w:t xml:space="preserve">Trust in data: </w:t>
      </w:r>
      <w:r w:rsidDel="00000000" w:rsidR="00000000" w:rsidRPr="00000000">
        <w:rPr>
          <w:rtl w:val="0"/>
        </w:rPr>
        <w:t xml:space="preserve">For </w:t>
      </w:r>
      <w:r w:rsidDel="00000000" w:rsidR="00000000" w:rsidRPr="00000000">
        <w:rPr>
          <w:rtl w:val="0"/>
        </w:rPr>
        <w:t xml:space="preserve">policymakers as well, trust in citizen science-generated data is an issue, in that data collected by citizens are often met with skepticism regarding their quality, since both citizens’ motivation and ability to collect data might be possible biasing factors. </w:t>
      </w:r>
    </w:p>
    <w:p w:rsidR="00000000" w:rsidDel="00000000" w:rsidP="00000000" w:rsidRDefault="00000000" w:rsidRPr="00000000" w14:paraId="0000003E">
      <w:pPr>
        <w:rPr/>
      </w:pPr>
      <w:r w:rsidDel="00000000" w:rsidR="00000000" w:rsidRPr="00000000">
        <w:rPr>
          <w:b w:val="1"/>
          <w:bCs w:val="1"/>
          <w:rtl w:val="0"/>
        </w:rPr>
        <w:t xml:space="preserve">Power: </w:t>
      </w:r>
      <w:r w:rsidDel="00000000" w:rsidR="00000000" w:rsidRPr="00000000">
        <w:rPr>
          <w:rtl w:val="0"/>
        </w:rPr>
        <w:t xml:space="preserve">Citizen science might be abused by a</w:t>
      </w:r>
      <w:r w:rsidDel="00000000" w:rsidR="00000000" w:rsidRPr="00000000">
        <w:rPr>
          <w:rtl w:val="0"/>
        </w:rPr>
        <w:t xml:space="preserve">uthorities as an excuse to delay decisions, while it also opens up potential conflicts over who makes decisions in a democratic system and can lead to a loss of power for authorities. Data confidentiality is fragile in citizen science, which might make it a contentious approach in contexts of political tension, including armed conflict or the weaponization of water.</w:t>
      </w:r>
    </w:p>
    <w:p w:rsidR="00000000" w:rsidDel="00000000" w:rsidP="00000000" w:rsidRDefault="00000000" w:rsidRPr="00000000" w14:paraId="0000003F">
      <w:pPr>
        <w:rPr/>
      </w:pPr>
      <w:r w:rsidDel="00000000" w:rsidR="00000000" w:rsidRPr="00000000">
        <w:rPr>
          <w:b w:val="1"/>
          <w:bCs w:val="1"/>
          <w:rtl w:val="0"/>
        </w:rPr>
        <w:t xml:space="preserve">Funding: </w:t>
      </w:r>
      <w:r w:rsidDel="00000000" w:rsidR="00000000" w:rsidRPr="00000000">
        <w:rPr>
          <w:rtl w:val="0"/>
        </w:rPr>
        <w:t xml:space="preserve">Related to this, authorities have the power </w:t>
      </w:r>
      <w:r w:rsidDel="00000000" w:rsidR="00000000" w:rsidRPr="00000000">
        <w:rPr>
          <w:rtl w:val="0"/>
        </w:rPr>
        <w:t xml:space="preserve">to give or not to give funding, which might compel them to give funding primarily to initiatives that make them look good in some way. At times, there is also little understanding of the work on the ground and the efforts necessitated by intense engagement, which leads to insufficient resources to implement and achieve all that is aimed for. </w:t>
      </w:r>
    </w:p>
    <w:p w:rsidR="00000000" w:rsidDel="00000000" w:rsidP="00000000" w:rsidRDefault="00000000" w:rsidRPr="00000000" w14:paraId="00000040">
      <w:pPr>
        <w:rPr/>
      </w:pPr>
      <w:r w:rsidDel="00000000" w:rsidR="00000000" w:rsidRPr="00000000">
        <w:rPr>
          <w:b w:val="1"/>
          <w:bCs w:val="1"/>
          <w:rtl w:val="0"/>
        </w:rPr>
        <w:t xml:space="preserve">Siloing:</w:t>
      </w:r>
      <w:r w:rsidDel="00000000" w:rsidR="00000000" w:rsidRPr="00000000">
        <w:rPr>
          <w:rtl w:val="0"/>
        </w:rPr>
        <w:t xml:space="preserve"> Data are often collected and organized in a format that does not fit authorities’ standard operating procedures or monitoring frameworks. Access to data and transparency on metadata might be insufficient, and use cases directly relevant to the policy  agenda might not be available. As such, alignment with existing policies and linking with similar initiatives often proves difficult, exacerbated by different responsibilities and interdependencies between civil society institutions. </w:t>
      </w:r>
    </w:p>
    <w:p w:rsidR="00000000" w:rsidDel="00000000" w:rsidP="00000000" w:rsidRDefault="00000000" w:rsidRPr="00000000" w14:paraId="00000041">
      <w:pPr>
        <w:rPr/>
      </w:pPr>
      <w:r w:rsidDel="00000000" w:rsidR="00000000" w:rsidRPr="00000000">
        <w:rPr>
          <w:b w:val="1"/>
          <w:bCs w:val="1"/>
          <w:rtl w:val="0"/>
        </w:rPr>
        <w:t xml:space="preserve">Citizen washing: </w:t>
      </w:r>
      <w:r w:rsidDel="00000000" w:rsidR="00000000" w:rsidRPr="00000000">
        <w:rPr>
          <w:rtl w:val="0"/>
        </w:rPr>
        <w:t xml:space="preserve">There is often a lack of true commitment to participation, from providing the necessary funds to using the data actually elicited through citizen science activities. This is tied to a preference for “happy participation” and a </w:t>
      </w:r>
      <w:r w:rsidDel="00000000" w:rsidR="00000000" w:rsidRPr="00000000">
        <w:rPr>
          <w:rtl w:val="0"/>
        </w:rPr>
        <w:t xml:space="preserve">lack of understanding of citizen science initiatives and their value. </w:t>
      </w:r>
    </w:p>
    <w:p w:rsidR="00000000" w:rsidDel="00000000" w:rsidP="00000000" w:rsidRDefault="00000000" w:rsidRPr="00000000" w14:paraId="00000042">
      <w:pPr>
        <w:pStyle w:val="Heading4"/>
        <w:rPr/>
      </w:pPr>
      <w:bookmarkStart w:colFirst="0" w:colLast="0" w:name="_1vacqvctc94f" w:id="13"/>
      <w:bookmarkEnd w:id="13"/>
      <w:r w:rsidDel="00000000" w:rsidR="00000000" w:rsidRPr="00000000">
        <w:rPr>
          <w:rtl w:val="0"/>
        </w:rPr>
        <w:t xml:space="preserve">Materials, technologies, and knowledge resources</w:t>
      </w:r>
    </w:p>
    <w:p w:rsidR="00000000" w:rsidDel="00000000" w:rsidP="00000000" w:rsidRDefault="00000000" w:rsidRPr="00000000" w14:paraId="00000043">
      <w:pPr>
        <w:rPr/>
      </w:pPr>
      <w:r w:rsidDel="00000000" w:rsidR="00000000" w:rsidRPr="00000000">
        <w:rPr>
          <w:rtl w:val="0"/>
        </w:rPr>
        <w:t xml:space="preserve">The group on materials, technologies and knowledge resources mapped participants’ contributions into an interconnected web of barriers, including:</w:t>
      </w:r>
    </w:p>
    <w:p w:rsidR="00000000" w:rsidDel="00000000" w:rsidP="00000000" w:rsidRDefault="00000000" w:rsidRPr="00000000" w14:paraId="00000044">
      <w:pPr>
        <w:rPr/>
      </w:pPr>
      <w:r w:rsidDel="00000000" w:rsidR="00000000" w:rsidRPr="00000000">
        <w:rPr>
          <w:b w:val="1"/>
          <w:bCs w:val="1"/>
          <w:rtl w:val="0"/>
        </w:rPr>
        <w:t xml:space="preserve">Awareness: </w:t>
      </w:r>
      <w:r w:rsidDel="00000000" w:rsidR="00000000" w:rsidRPr="00000000">
        <w:rPr>
          <w:rtl w:val="0"/>
        </w:rPr>
        <w:t xml:space="preserve">The problems arising from limited awareness and accessibility of materials, technologies and knowledge resources, such as identifying and employing suitable methods, protocols, platforms, tools, databases, and laboratories that work for a given purpose. This node was also connected to the issue of alignment of citizen science activities with stakeholders and their time, their knowledge, but also their priorities. Regarding the latter point, it was noted that competing priorities means citizen science might be reduced to public engagement and seen as a “nice to have” rather than a valuable methodological approach in its own right. </w:t>
      </w:r>
    </w:p>
    <w:p w:rsidR="00000000" w:rsidDel="00000000" w:rsidP="00000000" w:rsidRDefault="00000000" w:rsidRPr="00000000" w14:paraId="00000045">
      <w:pPr>
        <w:rPr/>
      </w:pPr>
      <w:r w:rsidDel="00000000" w:rsidR="00000000" w:rsidRPr="00000000">
        <w:rPr>
          <w:b w:val="1"/>
          <w:bCs w:val="1"/>
          <w:rtl w:val="0"/>
        </w:rPr>
        <w:t xml:space="preserve">Usability: </w:t>
      </w:r>
      <w:r w:rsidDel="00000000" w:rsidR="00000000" w:rsidRPr="00000000">
        <w:rPr>
          <w:rtl w:val="0"/>
        </w:rPr>
        <w:t xml:space="preserve">In terms of the usability of materials and technologies, this might be hampered by limited interoperability, high costs and associated difficulties in upscaling some technologies, especially in cases when they are more labor-intensive. Another barrier to usability are the aforementioned standardization and calibration issues, which may also cause mistrust of the subsequently elicited data. Since highly specialized materials are hard to make use of correctly, training and capacity building are needed, in addition to making tools overall more accessible and user-friendly, ensuring that people become more comfortable with using tools and technologies they might otherwise find “scary”. Professional protocols and procedures need to be simplified to allow for meaningful contributions. </w:t>
      </w:r>
    </w:p>
    <w:p w:rsidR="00000000" w:rsidDel="00000000" w:rsidP="00000000" w:rsidRDefault="00000000" w:rsidRPr="00000000" w14:paraId="00000046">
      <w:pPr>
        <w:rPr/>
      </w:pPr>
      <w:r w:rsidDel="00000000" w:rsidR="00000000" w:rsidRPr="00000000">
        <w:rPr>
          <w:b w:val="1"/>
          <w:bCs w:val="1"/>
          <w:rtl w:val="0"/>
        </w:rPr>
        <w:t xml:space="preserve">Data quality assurance: </w:t>
      </w:r>
      <w:r w:rsidDel="00000000" w:rsidR="00000000" w:rsidRPr="00000000">
        <w:rPr>
          <w:rtl w:val="0"/>
        </w:rPr>
        <w:t xml:space="preserve">Tieing directly into the previous point, to ensure data quality, methods need to be made “fool-proof”. This, however, requires a lot of testing. Testing usually happens during projects themselves, meaning that the data elicited during the first rounds of the project is often not really useful, which in turn may lead to dissatisfied and frustrated citizen scientists, and only by the time the project is finalized, you get to the point where you can actually properly collect data at higher quality. </w:t>
      </w:r>
      <w:r w:rsidDel="00000000" w:rsidR="00000000" w:rsidRPr="00000000">
        <w:rPr>
          <w:rtl w:val="0"/>
        </w:rPr>
      </w:r>
    </w:p>
    <w:p w:rsidR="00000000" w:rsidDel="00000000" w:rsidP="00000000" w:rsidRDefault="00000000" w:rsidRPr="00000000" w14:paraId="00000047">
      <w:pPr>
        <w:pStyle w:val="Heading4"/>
        <w:rPr/>
      </w:pPr>
      <w:bookmarkStart w:colFirst="0" w:colLast="0" w:name="_z7s9iiszpkn6" w:id="14"/>
      <w:bookmarkEnd w:id="14"/>
      <w:r w:rsidDel="00000000" w:rsidR="00000000" w:rsidRPr="00000000">
        <w:rPr>
          <w:rtl w:val="0"/>
        </w:rPr>
        <w:t xml:space="preserve">Further comments:</w:t>
      </w:r>
    </w:p>
    <w:p w:rsidR="00000000" w:rsidDel="00000000" w:rsidP="00000000" w:rsidRDefault="00000000" w:rsidRPr="00000000" w14:paraId="00000048">
      <w:pPr>
        <w:rPr/>
      </w:pPr>
      <w:r w:rsidDel="00000000" w:rsidR="00000000" w:rsidRPr="00000000">
        <w:rPr>
          <w:rtl w:val="0"/>
        </w:rPr>
        <w:t xml:space="preserve">While citizen science for water has some specificities, a lot of the problems we outlined resonate with citizen science more broadly. It's not just the value of CS4Water that is in question, but the value of citizen science overall. </w:t>
      </w:r>
    </w:p>
    <w:p w:rsidR="00000000" w:rsidDel="00000000" w:rsidP="00000000" w:rsidRDefault="00000000" w:rsidRPr="00000000" w14:paraId="00000049">
      <w:pPr>
        <w:rPr/>
      </w:pPr>
      <w:r w:rsidDel="00000000" w:rsidR="00000000" w:rsidRPr="00000000">
        <w:rPr>
          <w:rtl w:val="0"/>
        </w:rPr>
        <w:t xml:space="preserve">The media are a potentially powerful stakeholder to keep in mind to get action and mobilize, citizens, governments, and NGOs, in part by providing citizen science activities with more legitimacy. As such, media training is something many scientists are missing. </w:t>
      </w:r>
    </w:p>
    <w:p w:rsidR="00000000" w:rsidDel="00000000" w:rsidP="00000000" w:rsidRDefault="00000000" w:rsidRPr="00000000" w14:paraId="0000004A">
      <w:pPr>
        <w:rPr/>
      </w:pPr>
      <w:r w:rsidDel="00000000" w:rsidR="00000000" w:rsidRPr="00000000">
        <w:rPr>
          <w:rtl w:val="0"/>
        </w:rPr>
        <w:t xml:space="preserve">While citizen science is a nice keyword terminology, it does not work for every context, every culture and every audience. We need to be strategic, especially when seeking funding and interacting with policymakers, reflecting their terminologies back to them to keep advocating for the type of science we want to do. </w:t>
      </w:r>
    </w:p>
    <w:p w:rsidR="00000000" w:rsidDel="00000000" w:rsidP="00000000" w:rsidRDefault="00000000" w:rsidRPr="00000000" w14:paraId="0000004B">
      <w:pPr>
        <w:rPr/>
      </w:pPr>
      <w:r w:rsidDel="00000000" w:rsidR="00000000" w:rsidRPr="00000000">
        <w:rPr>
          <w:rtl w:val="0"/>
        </w:rPr>
        <w:t xml:space="preserve">There is a need to align the many different toolboxes and robust methods and materials already in existence. A follow-up meeting of toolbox builders might be valuable. </w:t>
      </w:r>
    </w:p>
    <w:p w:rsidR="00000000" w:rsidDel="00000000" w:rsidP="00000000" w:rsidRDefault="00000000" w:rsidRPr="00000000" w14:paraId="0000004C">
      <w:pPr>
        <w:pStyle w:val="Heading3"/>
        <w:rPr/>
      </w:pPr>
      <w:bookmarkStart w:colFirst="0" w:colLast="0" w:name="_6g3bx03sgwd9" w:id="15"/>
      <w:bookmarkEnd w:id="15"/>
      <w:r w:rsidDel="00000000" w:rsidR="00000000" w:rsidRPr="00000000">
        <w:rPr>
          <w:rtl w:val="0"/>
        </w:rPr>
        <w:t xml:space="preserve">Prioritizing barriers for CS4Water</w:t>
      </w:r>
    </w:p>
    <w:p w:rsidR="00000000" w:rsidDel="00000000" w:rsidP="00000000" w:rsidRDefault="00000000" w:rsidRPr="00000000" w14:paraId="0000004D">
      <w:pPr>
        <w:rPr/>
      </w:pPr>
      <w:r w:rsidDel="00000000" w:rsidR="00000000" w:rsidRPr="00000000">
        <w:rPr>
          <w:rtl w:val="0"/>
        </w:rPr>
        <w:t xml:space="preserve">Taking into account the feedback from participant, the most interesting barriers to address in a potential follow-up activity regard the following three dimensions:</w:t>
      </w:r>
    </w:p>
    <w:p w:rsidR="00000000" w:rsidDel="00000000" w:rsidP="00000000" w:rsidRDefault="00000000" w:rsidRPr="00000000" w14:paraId="0000004E">
      <w:pPr>
        <w:numPr>
          <w:ilvl w:val="0"/>
          <w:numId w:val="1"/>
        </w:numPr>
        <w:spacing w:after="0" w:afterAutospacing="0"/>
        <w:ind w:left="720" w:hanging="360"/>
        <w:rPr>
          <w:u w:val="none"/>
        </w:rPr>
      </w:pPr>
      <w:r w:rsidDel="00000000" w:rsidR="00000000" w:rsidRPr="00000000">
        <w:rPr>
          <w:b w:val="1"/>
          <w:bCs w:val="1"/>
          <w:rtl w:val="0"/>
        </w:rPr>
        <w:t xml:space="preserve">Trust in data: </w:t>
      </w:r>
      <w:r w:rsidDel="00000000" w:rsidR="00000000" w:rsidRPr="00000000">
        <w:rPr>
          <w:rtl w:val="0"/>
        </w:rPr>
        <w:t xml:space="preserve">Received </w:t>
      </w:r>
      <w:r w:rsidDel="00000000" w:rsidR="00000000" w:rsidRPr="00000000">
        <w:rPr>
          <w:rtl w:val="0"/>
        </w:rPr>
        <w:t xml:space="preserve">14 points, combining the needs for comparability/inconsistency, standardization/benchmarking, the purpose of CS and CS not being seen as an approved scientific method</w:t>
      </w:r>
    </w:p>
    <w:p w:rsidR="00000000" w:rsidDel="00000000" w:rsidP="00000000" w:rsidRDefault="00000000" w:rsidRPr="00000000" w14:paraId="0000004F">
      <w:pPr>
        <w:numPr>
          <w:ilvl w:val="0"/>
          <w:numId w:val="1"/>
        </w:numPr>
        <w:spacing w:after="0" w:afterAutospacing="0"/>
        <w:ind w:left="720" w:hanging="360"/>
        <w:rPr>
          <w:u w:val="none"/>
        </w:rPr>
      </w:pPr>
      <w:r w:rsidDel="00000000" w:rsidR="00000000" w:rsidRPr="00000000">
        <w:rPr>
          <w:b w:val="1"/>
          <w:bCs w:val="1"/>
          <w:rtl w:val="0"/>
        </w:rPr>
        <w:t xml:space="preserve">Funding: </w:t>
      </w:r>
      <w:r w:rsidDel="00000000" w:rsidR="00000000" w:rsidRPr="00000000">
        <w:rPr>
          <w:rtl w:val="0"/>
        </w:rPr>
        <w:t xml:space="preserve">Received </w:t>
      </w:r>
      <w:r w:rsidDel="00000000" w:rsidR="00000000" w:rsidRPr="00000000">
        <w:rPr>
          <w:rtl w:val="0"/>
        </w:rPr>
        <w:t xml:space="preserve">8 points across the stakeholder groups of researchers, research institutions, and policymakers</w:t>
      </w:r>
    </w:p>
    <w:p w:rsidR="00000000" w:rsidDel="00000000" w:rsidP="00000000" w:rsidRDefault="00000000" w:rsidRPr="00000000" w14:paraId="00000050">
      <w:pPr>
        <w:numPr>
          <w:ilvl w:val="0"/>
          <w:numId w:val="1"/>
        </w:numPr>
        <w:ind w:left="720" w:hanging="360"/>
        <w:rPr>
          <w:u w:val="none"/>
        </w:rPr>
      </w:pPr>
      <w:r w:rsidDel="00000000" w:rsidR="00000000" w:rsidRPr="00000000">
        <w:rPr>
          <w:b w:val="1"/>
          <w:bCs w:val="1"/>
          <w:rtl w:val="0"/>
        </w:rPr>
        <w:t xml:space="preserve">Entry points and motivation: </w:t>
      </w:r>
      <w:r w:rsidDel="00000000" w:rsidR="00000000" w:rsidRPr="00000000">
        <w:rPr>
          <w:rtl w:val="0"/>
        </w:rPr>
        <w:t xml:space="preserve">Received 4 points for engaging the stakeholder group of citizens</w:t>
      </w: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rPr/>
      </w:pPr>
      <w:bookmarkStart w:colFirst="0" w:colLast="0" w:name="_snrjvatz9dh7" w:id="16"/>
      <w:bookmarkEnd w:id="16"/>
      <w:r w:rsidDel="00000000" w:rsidR="00000000" w:rsidRPr="00000000">
        <w:rPr>
          <w:rtl w:val="0"/>
        </w:rPr>
        <w:t xml:space="preserve">Annex: Workshop materials and presentation slides</w:t>
      </w:r>
    </w:p>
    <w:p w:rsidR="00000000" w:rsidDel="00000000" w:rsidP="00000000" w:rsidRDefault="00000000" w:rsidRPr="00000000" w14:paraId="00000052">
      <w:pPr>
        <w:rPr/>
      </w:pPr>
      <w:r w:rsidDel="00000000" w:rsidR="00000000" w:rsidRPr="00000000">
        <w:rPr/>
        <w:drawing>
          <wp:inline distB="114300" distT="114300" distL="114300" distR="114300">
            <wp:extent cx="5752656" cy="7726331"/>
            <wp:effectExtent b="0" l="0" r="0" t="0"/>
            <wp:docPr id="1" name="image1.jpg"/>
            <a:graphic>
              <a:graphicData uri="http://schemas.openxmlformats.org/drawingml/2006/picture">
                <pic:pic>
                  <pic:nvPicPr>
                    <pic:cNvPr id="0" name="image1.jpg"/>
                    <pic:cNvPicPr preferRelativeResize="0"/>
                  </pic:nvPicPr>
                  <pic:blipFill>
                    <a:blip r:embed="rId11"/>
                    <a:srcRect b="6476" l="10299" r="9136" t="12329"/>
                    <a:stretch>
                      <a:fillRect/>
                    </a:stretch>
                  </pic:blipFill>
                  <pic:spPr>
                    <a:xfrm>
                      <a:off x="0" y="0"/>
                      <a:ext cx="5752656" cy="7726331"/>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drawing>
          <wp:inline distB="114300" distT="114300" distL="114300" distR="114300">
            <wp:extent cx="5906031" cy="7310438"/>
            <wp:effectExtent b="0" l="0" r="0" t="0"/>
            <wp:docPr id="3" name="image6.jpg"/>
            <a:graphic>
              <a:graphicData uri="http://schemas.openxmlformats.org/drawingml/2006/picture">
                <pic:pic>
                  <pic:nvPicPr>
                    <pic:cNvPr id="0" name="image6.jpg"/>
                    <pic:cNvPicPr preferRelativeResize="0"/>
                  </pic:nvPicPr>
                  <pic:blipFill>
                    <a:blip r:embed="rId12"/>
                    <a:srcRect b="21295" l="14618" r="7143" t="6102"/>
                    <a:stretch>
                      <a:fillRect/>
                    </a:stretch>
                  </pic:blipFill>
                  <pic:spPr>
                    <a:xfrm>
                      <a:off x="0" y="0"/>
                      <a:ext cx="5906031" cy="731043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114300" distT="114300" distL="114300" distR="114300">
            <wp:extent cx="5795963" cy="8346186"/>
            <wp:effectExtent b="0" l="0" r="0" t="0"/>
            <wp:docPr id="4" name="image4.jpg"/>
            <a:graphic>
              <a:graphicData uri="http://schemas.openxmlformats.org/drawingml/2006/picture">
                <pic:pic>
                  <pic:nvPicPr>
                    <pic:cNvPr id="0" name="image4.jpg"/>
                    <pic:cNvPicPr preferRelativeResize="0"/>
                  </pic:nvPicPr>
                  <pic:blipFill>
                    <a:blip r:embed="rId13"/>
                    <a:srcRect b="7238" l="11628" r="9468" t="7597"/>
                    <a:stretch>
                      <a:fillRect/>
                    </a:stretch>
                  </pic:blipFill>
                  <pic:spPr>
                    <a:xfrm>
                      <a:off x="0" y="0"/>
                      <a:ext cx="5795963" cy="834618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drawing>
          <wp:inline distB="114300" distT="114300" distL="114300" distR="114300">
            <wp:extent cx="5881688" cy="8046566"/>
            <wp:effectExtent b="0" l="0" r="0" t="0"/>
            <wp:docPr id="6" name="image2.jpg"/>
            <a:graphic>
              <a:graphicData uri="http://schemas.openxmlformats.org/drawingml/2006/picture">
                <pic:pic>
                  <pic:nvPicPr>
                    <pic:cNvPr id="0" name="image2.jpg"/>
                    <pic:cNvPicPr preferRelativeResize="0"/>
                  </pic:nvPicPr>
                  <pic:blipFill>
                    <a:blip r:embed="rId14"/>
                    <a:srcRect b="12827" l="18272" r="6811" t="10336"/>
                    <a:stretch>
                      <a:fillRect/>
                    </a:stretch>
                  </pic:blipFill>
                  <pic:spPr>
                    <a:xfrm>
                      <a:off x="0" y="0"/>
                      <a:ext cx="5881688" cy="804656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114300" distT="114300" distL="114300" distR="114300">
            <wp:extent cx="6100763" cy="8114946"/>
            <wp:effectExtent b="0" l="0" r="0" t="0"/>
            <wp:docPr id="2" name="image5.jpg"/>
            <a:graphic>
              <a:graphicData uri="http://schemas.openxmlformats.org/drawingml/2006/picture">
                <pic:pic>
                  <pic:nvPicPr>
                    <pic:cNvPr id="0" name="image5.jpg"/>
                    <pic:cNvPicPr preferRelativeResize="0"/>
                  </pic:nvPicPr>
                  <pic:blipFill>
                    <a:blip r:embed="rId15"/>
                    <a:srcRect b="0" l="5814" r="7143" t="13200"/>
                    <a:stretch>
                      <a:fillRect/>
                    </a:stretch>
                  </pic:blipFill>
                  <pic:spPr>
                    <a:xfrm>
                      <a:off x="0" y="0"/>
                      <a:ext cx="6100763" cy="8114946"/>
                    </a:xfrm>
                    <a:prstGeom prst="rect"/>
                    <a:ln/>
                  </pic:spPr>
                </pic:pic>
              </a:graphicData>
            </a:graphic>
          </wp:inline>
        </w:drawing>
      </w:r>
      <w:r w:rsidDel="00000000" w:rsidR="00000000" w:rsidRPr="00000000">
        <w:rPr>
          <w:rtl w:val="0"/>
        </w:rPr>
      </w:r>
    </w:p>
    <w:sectPr>
      <w:headerReference r:id="rId16" w:type="default"/>
      <w:headerReference r:id="rId17" w:type="first"/>
      <w:footerReference r:id="rId18" w:type="default"/>
      <w:footerReference r:id="rId19" w:type="first"/>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spacing w:line="240" w:lineRule="auto"/>
      <w:jc w:val="right"/>
      <w:rPr/>
    </w:pPr>
    <w:r w:rsidDel="00000000" w:rsidR="00000000" w:rsidRPr="00000000">
      <w:rPr>
        <w:color w:val="0e627f"/>
        <w:sz w:val="21"/>
        <w:szCs w:val="21"/>
        <w:highlight w:val="white"/>
        <w:rtl w:val="0"/>
      </w:rPr>
      <w:t xml:space="preserve">Image Credit: Johannes Zinner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-934874</wp:posOffset>
          </wp:positionH>
          <wp:positionV relativeFrom="paragraph">
            <wp:posOffset>-342899</wp:posOffset>
          </wp:positionV>
          <wp:extent cx="7596188" cy="3040999"/>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96188" cy="30409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ill Sans" w:cs="Gill Sans" w:eastAsia="Gill Sans" w:hAnsi="Gill Sans"/>
        <w:sz w:val="22"/>
        <w:szCs w:val="22"/>
        <w:lang w:val="en"/>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60" w:before="300" w:lineRule="auto"/>
    </w:pPr>
    <w:rPr>
      <w:b w:val="1"/>
      <w:bCs w:val="1"/>
      <w:color w:val="0e627f"/>
      <w:sz w:val="30"/>
      <w:szCs w:val="30"/>
    </w:rPr>
  </w:style>
  <w:style w:type="paragraph" w:styleId="Heading3">
    <w:name w:val="heading 3"/>
    <w:basedOn w:val="Normal"/>
    <w:next w:val="Normal"/>
    <w:pPr>
      <w:keepNext w:val="1"/>
      <w:keepLines w:val="1"/>
      <w:spacing w:after="240" w:before="360" w:lineRule="auto"/>
    </w:pPr>
    <w:rPr>
      <w:b w:val="1"/>
      <w:bCs w:val="1"/>
      <w:color w:val="58b14a"/>
      <w:sz w:val="26"/>
      <w:szCs w:val="26"/>
    </w:rPr>
  </w:style>
  <w:style w:type="paragraph" w:styleId="Heading4">
    <w:name w:val="heading 4"/>
    <w:basedOn w:val="Normal"/>
    <w:next w:val="Normal"/>
    <w:pPr>
      <w:keepNext w:val="1"/>
      <w:keepLines w:val="1"/>
      <w:spacing w:before="240" w:lineRule="auto"/>
    </w:pPr>
    <w:rPr>
      <w:b w:val="1"/>
      <w:bCs w:val="1"/>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s://localactionguide.mykajabi.com/" TargetMode="External"/><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anube4allproject.eu/citizen-science" TargetMode="External"/><Relationship Id="rId15" Type="http://schemas.openxmlformats.org/officeDocument/2006/relationships/image" Target="media/image5.jpg"/><Relationship Id="rId14" Type="http://schemas.openxmlformats.org/officeDocument/2006/relationships/image" Target="media/image2.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danube4allproject.eu/" TargetMode="External"/><Relationship Id="rId18" Type="http://schemas.openxmlformats.org/officeDocument/2006/relationships/footer" Target="footer2.xml"/><Relationship Id="rId7" Type="http://schemas.openxmlformats.org/officeDocument/2006/relationships/hyperlink" Target="https://localactionguide.mykajabi.com/" TargetMode="External"/><Relationship Id="rId8" Type="http://schemas.openxmlformats.org/officeDocument/2006/relationships/hyperlink" Target="https://www.danube4allproject.e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